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14" w:rsidRPr="0096185C" w:rsidRDefault="00B52B14" w:rsidP="00B4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85C">
        <w:rPr>
          <w:rFonts w:ascii="Times New Roman" w:hAnsi="Times New Roman" w:cs="Times New Roman"/>
          <w:b/>
          <w:sz w:val="24"/>
          <w:szCs w:val="24"/>
        </w:rPr>
        <w:t>Suppl. Table 1:</w:t>
      </w:r>
      <w:r w:rsidRPr="0096185C">
        <w:rPr>
          <w:rFonts w:ascii="Times New Roman" w:hAnsi="Times New Roman" w:cs="Times New Roman"/>
          <w:sz w:val="24"/>
          <w:szCs w:val="24"/>
        </w:rPr>
        <w:t xml:space="preserve"> Lists of targets used as inputs for analyzing network properties and to evaluate the method accuracy to provide the expected transcription factor and other biologically relevant upstream candidates</w:t>
      </w:r>
    </w:p>
    <w:tbl>
      <w:tblPr>
        <w:tblW w:w="13274" w:type="dxa"/>
        <w:tblLook w:val="04A0" w:firstRow="1" w:lastRow="0" w:firstColumn="1" w:lastColumn="0" w:noHBand="0" w:noVBand="1"/>
      </w:tblPr>
      <w:tblGrid>
        <w:gridCol w:w="3794"/>
        <w:gridCol w:w="3402"/>
        <w:gridCol w:w="6078"/>
      </w:tblGrid>
      <w:tr w:rsidR="0096185C" w:rsidRPr="0096185C" w:rsidTr="009F3141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14" w:rsidRPr="0096185C" w:rsidRDefault="00B52B14" w:rsidP="00B4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PPARA</w:t>
            </w:r>
            <w:r w:rsidRPr="0096185C">
              <w:rPr>
                <w:rFonts w:ascii="Times New Roman" w:hAnsi="Times New Roman" w:cs="Times New Roman"/>
                <w:sz w:val="24"/>
                <w:szCs w:val="24"/>
              </w:rPr>
              <w:t xml:space="preserve"> gene </w:t>
            </w:r>
            <w:proofErr w:type="spellStart"/>
            <w:r w:rsidRPr="0096185C">
              <w:rPr>
                <w:rFonts w:ascii="Times New Roman" w:hAnsi="Times New Roman" w:cs="Times New Roman"/>
                <w:sz w:val="24"/>
                <w:szCs w:val="24"/>
              </w:rPr>
              <w:t>targets</w:t>
            </w:r>
            <w:r w:rsidRPr="009618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  <w:p w:rsidR="00B52B14" w:rsidRPr="0096185C" w:rsidRDefault="00B52B14" w:rsidP="00B4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14" w:rsidRPr="0096185C" w:rsidRDefault="00B52B14" w:rsidP="00B4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5C">
              <w:rPr>
                <w:rFonts w:ascii="Times New Roman" w:hAnsi="Times New Roman" w:cs="Times New Roman"/>
                <w:sz w:val="24"/>
                <w:szCs w:val="24"/>
              </w:rPr>
              <w:t xml:space="preserve">DE genes in response to PPAR </w:t>
            </w:r>
            <w:proofErr w:type="spellStart"/>
            <w:r w:rsidRPr="0096185C">
              <w:rPr>
                <w:rFonts w:ascii="Times New Roman" w:hAnsi="Times New Roman" w:cs="Times New Roman"/>
                <w:sz w:val="24"/>
                <w:szCs w:val="24"/>
              </w:rPr>
              <w:t>agonists</w:t>
            </w:r>
            <w:r w:rsidRPr="009618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14" w:rsidRPr="0096185C" w:rsidRDefault="00B52B14" w:rsidP="00B4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5C">
              <w:rPr>
                <w:rFonts w:ascii="Times New Roman" w:hAnsi="Times New Roman" w:cs="Times New Roman"/>
                <w:sz w:val="24"/>
                <w:szCs w:val="24"/>
              </w:rPr>
              <w:t xml:space="preserve">Metabolites participating </w:t>
            </w:r>
          </w:p>
          <w:p w:rsidR="00B52B14" w:rsidRPr="0096185C" w:rsidRDefault="00B52B14" w:rsidP="00B4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5C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96185C">
              <w:rPr>
                <w:rFonts w:ascii="Times New Roman" w:hAnsi="Times New Roman" w:cs="Times New Roman"/>
                <w:sz w:val="24"/>
                <w:szCs w:val="24"/>
              </w:rPr>
              <w:t>glycolysis</w:t>
            </w:r>
            <w:r w:rsidRPr="009618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</w:tr>
      <w:tr w:rsidR="0096185C" w:rsidRPr="0096185C" w:rsidTr="009F3141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14" w:rsidRPr="0096185C" w:rsidRDefault="00B52B14" w:rsidP="00B46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Adipor2; Cd36; LEPR; Slc27a1; SLC27A2; SLC27A4; Acot1; Acot7; ACOT12; ACSL1; ACSL3; Acsl4; ACSL5; ACSM3; Acss2; FABP1; Fabp2; FABP3; Fabp4; Fabp5; ACAA2 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Acadl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ACADM; ACADS ; ACADVL; Acad8 ; Acad9; Acad10; Acot2; Acot9;  Acot10; CPT1A; Cpt1b; CPT2;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Cr</w:t>
            </w:r>
            <w:bookmarkStart w:id="0" w:name="_GoBack"/>
            <w:bookmarkEnd w:id="0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at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Dci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Decr1; ETFA;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Etfb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ETFDH; HADHA; 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Hadh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Hadh2;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Hibch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SLC25A20; SLC22A5; TXNIP; Ucp2; Ucp3; Acat1;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Bdh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FGF21;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Hmgcl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HMGCS2; ABCD2; ABCD3; ACAA1A; Acaa1b; Acot3; Acot4; Acot5; Acot8; ACOX1;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Crot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Decr2; ECH1;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Ehhadh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HACL1; HSD17B4;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Peci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Pex11a; ALDH3A1; Aldh3a2; ALDH9A1; Cyp4a1; Cyp4a10; Cyp4a12a ; Cyp4a14; Cyp4f15; Cyp4x1;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Acaca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ACACB; AGPAT2; Agpat3; Agpat5; Agpat6; Dgat1; ELOVL5; ELOVL6; Elovl7; FADS1; Fads2;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Fasn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GPAM; Hsd17b12; Lpin2; MLYCD; Mogat1; MOD1; Scd1; Scd2; Slc25a10; Srebf1; ADFP; Ces1; Ces3;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Cidea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CIDEC; Gos2;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Lipa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Lipe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Mgll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Oxpat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/Lsdp5; Plin1; PNPLA2; S3-12; ANGPTL4; APOA1; APOA2; APOA5; APOCIII; LIPC;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Lipg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Lpl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Lrp4; PCTP;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Pltp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Mttp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VLDLR ;ABCA1; ABCB4; Abcb11; Abcg5; Abcg8; Cav1; CYP7A1; Cyp8b1; Cyp27a1 ; FXR ; LXR ; Npc1 ; Rab9 ; Scarb2 ; Slc10a1 ; Slc10a2; AQP3; Aqp7; Aqp9; Fbp2; G6PC; Gpd1; Gpd2; GYK; Gys-2;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Ldha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Pcx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PCK1; Pdk1; PDK4; AKR1B10; AKR1C3; CYP1A2; Cyp2a5; CYP2B6; CYP2C8 ; CYP2C9; Cyp2c11; Cyp2c12; Cyp2c29; </w:t>
            </w:r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CYP2J2; CYP3A5; CYP3A7; CYP3A11; Cyp3a43; EPHX2; Gsta3; MGST3; UGT1A9; ABAT;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Acmsd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AGXT2; Arg1; ASL; Ass1; CBS; CPS-1;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Cth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Got1; Got2;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Gls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GLS2; GPT; Hal;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Hpd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OAT; ODC1; OTC; PAH; PSAT1; Tat;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Apcs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Birc3;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Cebpb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Cd68;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Crp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Cxcl10/IP10; FGB; Emr1 (F4/80); Icam-1; Ifi47;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Igtp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Nfkbia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Il-1; Il-1r1; Il1rn; Il1rap; Il-6; Il-6ra; Il18; Lcn2;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Lifr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Ccl2; Ccl3; Mt1; Mt2;Orm2; Orm3; Nfkb1; Pla1a; Saa2; Saa4; Stat1; Stat2; Stat3; Steap4; </w:t>
            </w:r>
            <w:proofErr w:type="spellStart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Tnf</w:t>
            </w:r>
            <w:proofErr w:type="spellEnd"/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t>α; Traf2; Vcam1</w:t>
            </w:r>
          </w:p>
          <w:p w:rsidR="00B52B14" w:rsidRPr="0096185C" w:rsidRDefault="00B52B14" w:rsidP="00B46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14" w:rsidRPr="0096185C" w:rsidRDefault="00B52B14" w:rsidP="00B46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ACAA2; ACADL; ACADVL; ACOT2; ACSS2; ADAM12; ALDH9A1; ANK3; APCDD1; ASB4; BTG3; C10orf99; CA6; CACNA1G; CAPN6; CD24; CD36; CDH11; CDK18; CGNL1; CLU; COL18A1; CPT1A; CRABP1; CXCR7; CYP1B1; CYP51A1; DDX3Y; DECR1; DGAT2; DHRS2; DHRS4; DKK3; DPT; ECH1; ECI2; EGLN3; EPHX2; ERCC1; EREG; ETFDH; FABP4; FAH; ;FAM213A; FBP2; FBXW2; FNTB; FZD4; GATA6; GCNT2; GFAP; GK; GLI2; GNG2; GPC4; HADHA; HADHB; HILPDA; HMGCS2; HSD17B11; HSDL2; HTRA3; IGF2; IMPA2; KCNE4; KLF10; LAMA2; LAMA4; LAMB1; LCN2; LGALS9; LIPE; LONP1; LRP5; LSS; MBNL3; ME1; MEG3; METTL7B; MGP; MVD; MYL9; N4BP2L1; NME4; NPNT; NPR3; NXN; ODZ4; OLFM1; PAPSS2; PARM1; PC; PDE1B; PDK1; PDZRN3; PEX11A; PHYH; PKP2; PLIN2; PLIN4; PNPLA2; POPDC3; POSTN; PPARA; PTGS2; PTK7; PTN; PTP4A1; PTPRM; PYCR1; RBMY1A1; RETSAT; RGS4; SCRN2; SERPINA3; SERPINE1; SERPINE2; SEZ6L2; SFRP1; SH3TC1; SLC16A1; SLC22A5; SLC25A20; SLC25A42; SMOC2; SPRR1A; STRA6; SULF2; TGM2; TMEM97; TRIB3; TUBA4A; UBD; UCP2; </w:t>
            </w:r>
            <w:r w:rsidRPr="009618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VAV3</w:t>
            </w:r>
          </w:p>
          <w:p w:rsidR="00B52B14" w:rsidRPr="0096185C" w:rsidRDefault="00B52B14" w:rsidP="00B46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14" w:rsidRPr="0096185C" w:rsidRDefault="00B52B14" w:rsidP="00B46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Glucose</w:t>
            </w:r>
          </w:p>
          <w:p w:rsidR="00B52B14" w:rsidRPr="0096185C" w:rsidRDefault="00B52B14" w:rsidP="00B46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5C">
              <w:rPr>
                <w:rFonts w:ascii="Times New Roman" w:hAnsi="Times New Roman" w:cs="Times New Roman"/>
                <w:sz w:val="24"/>
                <w:szCs w:val="24"/>
              </w:rPr>
              <w:t xml:space="preserve">Glucose-6-phosphate </w:t>
            </w:r>
          </w:p>
          <w:p w:rsidR="00B52B14" w:rsidRPr="0096185C" w:rsidRDefault="00B52B14" w:rsidP="00B46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5C">
              <w:rPr>
                <w:rFonts w:ascii="Times New Roman" w:hAnsi="Times New Roman" w:cs="Times New Roman"/>
                <w:sz w:val="24"/>
                <w:szCs w:val="24"/>
              </w:rPr>
              <w:t>Fructose-6-phosphate</w:t>
            </w:r>
          </w:p>
          <w:p w:rsidR="00B52B14" w:rsidRPr="0096185C" w:rsidRDefault="00B52B14" w:rsidP="00B46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5C">
              <w:rPr>
                <w:rFonts w:ascii="Times New Roman" w:hAnsi="Times New Roman" w:cs="Times New Roman"/>
                <w:sz w:val="24"/>
                <w:szCs w:val="24"/>
              </w:rPr>
              <w:t>Fructose 1,6-diphosphate</w:t>
            </w:r>
          </w:p>
          <w:p w:rsidR="00B52B14" w:rsidRPr="0096185C" w:rsidRDefault="00B52B14" w:rsidP="00B46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5C">
              <w:rPr>
                <w:rFonts w:ascii="Times New Roman" w:hAnsi="Times New Roman" w:cs="Times New Roman"/>
                <w:sz w:val="24"/>
                <w:szCs w:val="24"/>
              </w:rPr>
              <w:t>Glyceraldehyde 3 phosphate</w:t>
            </w:r>
          </w:p>
          <w:p w:rsidR="00B52B14" w:rsidRPr="0096185C" w:rsidRDefault="00B52B14" w:rsidP="00B46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85C">
              <w:rPr>
                <w:rFonts w:ascii="Times New Roman" w:hAnsi="Times New Roman" w:cs="Times New Roman"/>
                <w:sz w:val="24"/>
                <w:szCs w:val="24"/>
              </w:rPr>
              <w:t>Phosphoenolpyruvate</w:t>
            </w:r>
            <w:proofErr w:type="spellEnd"/>
          </w:p>
          <w:p w:rsidR="00B52B14" w:rsidRPr="0096185C" w:rsidRDefault="00B52B14" w:rsidP="00B46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5C">
              <w:rPr>
                <w:rFonts w:ascii="Times New Roman" w:hAnsi="Times New Roman" w:cs="Times New Roman"/>
                <w:sz w:val="24"/>
                <w:szCs w:val="24"/>
              </w:rPr>
              <w:t>Pyruvate</w:t>
            </w:r>
          </w:p>
          <w:p w:rsidR="00B52B14" w:rsidRPr="0096185C" w:rsidRDefault="00B52B14" w:rsidP="00B46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B14" w:rsidRPr="0096185C" w:rsidRDefault="00B52B14" w:rsidP="00B4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185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proofErr w:type="gramEnd"/>
      <w:r w:rsidRPr="0096185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96185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6185C">
        <w:rPr>
          <w:rFonts w:ascii="Times New Roman" w:hAnsi="Times New Roman" w:cs="Times New Roman"/>
          <w:sz w:val="24"/>
          <w:szCs w:val="24"/>
        </w:rPr>
        <w:t xml:space="preserve"> literature review [20]</w:t>
      </w:r>
      <w:r w:rsidRPr="009618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185C">
        <w:rPr>
          <w:rFonts w:ascii="Times New Roman" w:hAnsi="Times New Roman" w:cs="Times New Roman"/>
          <w:sz w:val="24"/>
          <w:szCs w:val="24"/>
        </w:rPr>
        <w:t xml:space="preserve">dedicated to </w:t>
      </w:r>
      <w:r w:rsidRPr="0096185C">
        <w:rPr>
          <w:rFonts w:ascii="Times New Roman" w:hAnsi="Times New Roman" w:cs="Times New Roman"/>
          <w:i/>
          <w:sz w:val="24"/>
          <w:szCs w:val="24"/>
        </w:rPr>
        <w:t xml:space="preserve">PPARA </w:t>
      </w:r>
      <w:r w:rsidRPr="0096185C">
        <w:rPr>
          <w:rFonts w:ascii="Times New Roman" w:hAnsi="Times New Roman" w:cs="Times New Roman"/>
          <w:sz w:val="24"/>
          <w:szCs w:val="24"/>
        </w:rPr>
        <w:t xml:space="preserve">was used, in which 250 gene targets have been indicated as responsive to </w:t>
      </w:r>
      <w:r w:rsidRPr="0096185C">
        <w:rPr>
          <w:rFonts w:ascii="Times New Roman" w:hAnsi="Times New Roman" w:cs="Times New Roman"/>
          <w:i/>
          <w:sz w:val="24"/>
          <w:szCs w:val="24"/>
        </w:rPr>
        <w:t>PPARA</w:t>
      </w:r>
      <w:r w:rsidRPr="0096185C">
        <w:rPr>
          <w:rFonts w:ascii="Times New Roman" w:hAnsi="Times New Roman" w:cs="Times New Roman"/>
          <w:sz w:val="24"/>
          <w:szCs w:val="24"/>
        </w:rPr>
        <w:t xml:space="preserve"> in different biological processes in the liver. Genes regulated by </w:t>
      </w:r>
      <w:r w:rsidRPr="0096185C">
        <w:rPr>
          <w:rStyle w:val="Accentuation"/>
          <w:rFonts w:ascii="Times New Roman" w:hAnsi="Times New Roman" w:cs="Times New Roman"/>
          <w:sz w:val="24"/>
          <w:szCs w:val="24"/>
        </w:rPr>
        <w:t>PPARA</w:t>
      </w:r>
      <w:r w:rsidRPr="0096185C">
        <w:rPr>
          <w:rFonts w:ascii="Times New Roman" w:hAnsi="Times New Roman" w:cs="Times New Roman"/>
          <w:sz w:val="24"/>
          <w:szCs w:val="24"/>
        </w:rPr>
        <w:t xml:space="preserve"> in mouse are indicated in lower case, whereas genes regulated in human are capitalized</w:t>
      </w:r>
      <w:r w:rsidRPr="0096185C">
        <w:rPr>
          <w:rStyle w:val="lev"/>
          <w:rFonts w:ascii="Times New Roman" w:hAnsi="Times New Roman" w:cs="Times New Roman"/>
          <w:sz w:val="24"/>
          <w:szCs w:val="24"/>
        </w:rPr>
        <w:t>.</w:t>
      </w:r>
    </w:p>
    <w:p w:rsidR="00B52B14" w:rsidRPr="0096185C" w:rsidRDefault="00B52B14" w:rsidP="00B4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85C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Pr="0096185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6185C">
        <w:rPr>
          <w:rFonts w:ascii="Times New Roman" w:hAnsi="Times New Roman" w:cs="Times New Roman"/>
          <w:sz w:val="24"/>
          <w:szCs w:val="24"/>
        </w:rPr>
        <w:t xml:space="preserve">A published study [21] of transcriptional profiling of NIH3 cells in the presence of selective peroxisome proliferator-activated receptors (PPAR) agonists indicated 136 differentially expressed (DE) genes as related to </w:t>
      </w:r>
      <w:r w:rsidRPr="0096185C">
        <w:rPr>
          <w:rFonts w:ascii="Times New Roman" w:hAnsi="Times New Roman" w:cs="Times New Roman"/>
          <w:i/>
          <w:sz w:val="24"/>
          <w:szCs w:val="24"/>
        </w:rPr>
        <w:t>PPARA</w:t>
      </w:r>
      <w:r w:rsidRPr="0096185C">
        <w:rPr>
          <w:rFonts w:ascii="Times New Roman" w:hAnsi="Times New Roman" w:cs="Times New Roman"/>
          <w:sz w:val="24"/>
          <w:szCs w:val="24"/>
        </w:rPr>
        <w:t xml:space="preserve"> effects. </w:t>
      </w:r>
    </w:p>
    <w:p w:rsidR="00B52B14" w:rsidRPr="0096185C" w:rsidRDefault="00B52B14" w:rsidP="00B4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85C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Pr="0096185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6185C">
        <w:rPr>
          <w:rFonts w:ascii="Times New Roman" w:hAnsi="Times New Roman" w:cs="Times New Roman"/>
          <w:sz w:val="24"/>
          <w:szCs w:val="24"/>
        </w:rPr>
        <w:t xml:space="preserve">The metabolites participating in the successive steps in the glycolytic pathway [32] were supposed to have an increased abundance in response to an unknown external factor. </w:t>
      </w:r>
    </w:p>
    <w:p w:rsidR="00082840" w:rsidRPr="0096185C" w:rsidRDefault="00082840" w:rsidP="00B46B82">
      <w:pPr>
        <w:spacing w:line="240" w:lineRule="auto"/>
      </w:pPr>
    </w:p>
    <w:sectPr w:rsidR="00082840" w:rsidRPr="009618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14"/>
    <w:rsid w:val="00082840"/>
    <w:rsid w:val="0096185C"/>
    <w:rsid w:val="00B46B82"/>
    <w:rsid w:val="00B5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52B14"/>
    <w:rPr>
      <w:i/>
      <w:iCs/>
    </w:rPr>
  </w:style>
  <w:style w:type="character" w:styleId="lev">
    <w:name w:val="Strong"/>
    <w:basedOn w:val="Policepardfaut"/>
    <w:uiPriority w:val="22"/>
    <w:qFormat/>
    <w:rsid w:val="00B52B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52B14"/>
    <w:rPr>
      <w:i/>
      <w:iCs/>
    </w:rPr>
  </w:style>
  <w:style w:type="character" w:styleId="lev">
    <w:name w:val="Strong"/>
    <w:basedOn w:val="Policepardfaut"/>
    <w:uiPriority w:val="22"/>
    <w:qFormat/>
    <w:rsid w:val="00B52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3218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Gondret</dc:creator>
  <cp:lastModifiedBy>Florence Gondret</cp:lastModifiedBy>
  <cp:revision>3</cp:revision>
  <dcterms:created xsi:type="dcterms:W3CDTF">2013-11-18T15:40:00Z</dcterms:created>
  <dcterms:modified xsi:type="dcterms:W3CDTF">2014-02-27T11:11:00Z</dcterms:modified>
</cp:coreProperties>
</file>